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160" w:before="0" w:line="276" w:lineRule="auto"/>
        <w:jc w:val="right"/>
      </w:pPr>
      <w:r>
        <w:rPr>
          <w:rFonts w:ascii="Times New Roman" w:hAnsi="Times New Roman" w:eastAsia="Times New Roman"/>
          <w:b w:val="0"/>
          <w:i w:val="0"/>
          <w:sz w:val="24"/>
        </w:rPr>
        <w:t>В Прокуратура города Москвы / Арбитражный суд города Москвы</w:t>
        <w:br/>
        <w:t>115225, г. Москва, ул. Большая Тульская, д. 17</w:t>
        <w:br/>
        <w:br/>
        <w:t>от ООО «Север Инжиниринг»</w:t>
        <w:br/>
        <w:t>ИНН 7700007007, ОГРН 1267700007007</w:t>
        <w:br/>
        <w:t>125130, г. Москва, Старопетровский проезд, д. 11</w:t>
        <w:br/>
        <w:t>Представитель: [Ф.И.О., основание полномочий]</w:t>
      </w:r>
    </w:p>
    <w:p>
      <w:pPr>
        <w:keepNext/>
        <w:spacing w:after="160"/>
        <w:jc w:val="center"/>
      </w:pPr>
      <w:r>
        <w:rPr>
          <w:rFonts w:ascii="Times New Roman" w:hAnsi="Times New Roman" w:eastAsia="Times New Roman"/>
          <w:b/>
          <w:sz w:val="28"/>
        </w:rPr>
        <w:t>ПОЗИЦИЯ ОБ ОТСУТСТВИИ САМОСТОЯТЕЛЬНОЙ ВИНЫ ДОЛЖНОСТНОГО ЛИЦА</w:t>
      </w:r>
    </w:p>
    <w:tbl>
      <w:tblPr>
        <w:tblW w:type="auto" w:w="0"/>
        <w:jc w:val="center"/>
        <w:tblLayout w:type="autofit"/>
        <w:tblLook w:firstColumn="1" w:firstRow="1" w:lastColumn="0" w:lastRow="0" w:noHBand="0" w:noVBand="1" w:val="04A0"/>
      </w:tblPr>
      <w:tblGrid>
        <w:gridCol w:w="10086"/>
      </w:tblGrid>
      <w:tr>
        <w:tc>
          <w:tcPr>
            <w:tcW w:type="dxa" w:w="10086"/>
            <w:shd w:fill="EAF2F8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/>
                <w:sz w:val="18"/>
              </w:rPr>
              <w:t>Учебный модельный образец. Все наименования, номера дел, реквизиты и обстоятельства вымышлены. Документ подлежит обязательной адаптации.</w:t>
            </w:r>
          </w:p>
        </w:tc>
      </w:tr>
    </w:tbl>
    <w:p>
      <w:pPr>
        <w:spacing w:after="0"/>
      </w:pPr>
    </w:p>
    <w:p>
      <w:pPr>
        <w:pStyle w:val="Heading1"/>
        <w:keepNext/>
        <w:spacing w:before="160" w:after="60"/>
        <w:jc w:val="left"/>
      </w:pPr>
      <w:r>
        <w:rPr>
          <w:rFonts w:ascii="Times New Roman" w:hAnsi="Times New Roman" w:eastAsia="Times New Roman"/>
          <w:b/>
          <w:sz w:val="26"/>
        </w:rPr>
        <w:t>1. Фактические обстоятельства</w:t>
      </w:r>
    </w:p>
    <w:p>
      <w:pPr>
        <w:spacing w:after="60" w:before="0" w:line="276" w:lineRule="auto"/>
        <w:ind w:firstLine="567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ООО «Север Инжиниринг» осуществляет деятельность на объекте: офис и строительная площадка ООО «Север Инжиниринг». В отношении общества проводится либо завершено мероприятие № ПР-77/2026-719. Предмет претензий контрольного органа: неисполнение предписания в установленный срок и незаконное вознаграждение от имени юридического лица.</w:t>
      </w:r>
    </w:p>
    <w:p>
      <w:pPr>
        <w:spacing w:after="60" w:before="0" w:line="276" w:lineRule="auto"/>
        <w:ind w:firstLine="567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Общество не уклонялось от законного контроля, обеспечило участие представителя и предоставило относящиеся к предмету документы. Одновременно общество последовательно возражает против расширительного толкования обязательных требований и использования материалов, полученных с нарушением процедуры.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Организация не завершила один пункт предписания из-за задержки выдачи технических условий ресурсоснабжающей организацией.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Одновременно в ходе внутреннего контроля выявлено сообщение посредника о возможности ускорить согласование за незаконное вознаграждение.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Руководитель организации отказался от предложения, инициировал внутреннее расследование и уведомил правоохранительный орган.</w:t>
      </w:r>
    </w:p>
    <w:p>
      <w:pPr>
        <w:spacing w:after="60" w:before="0" w:line="276" w:lineRule="auto"/>
        <w:ind w:firstLine="567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Документ подготовлен применительно к спору о следующем: неисполнение предписания в установленный срок и незаконное вознаграждение от имени юридического лица.</w:t>
      </w:r>
    </w:p>
    <w:p>
      <w:pPr>
        <w:pStyle w:val="Heading2"/>
        <w:keepNext/>
        <w:spacing w:before="100" w:after="60"/>
        <w:jc w:val="left"/>
      </w:pPr>
      <w:r>
        <w:rPr>
          <w:rFonts w:ascii="Times New Roman" w:hAnsi="Times New Roman" w:eastAsia="Times New Roman"/>
          <w:b/>
          <w:sz w:val="24"/>
        </w:rPr>
        <w:t>Хронология значимых событий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2521"/>
        <w:gridCol w:w="2521"/>
        <w:gridCol w:w="2521"/>
        <w:gridCol w:w="2521"/>
      </w:tblGrid>
      <w:tr>
        <w:tc>
          <w:tcPr>
            <w:tcW w:type="dxa" w:w="2521"/>
            <w:shd w:fill="D9EAF7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/>
                <w:sz w:val="16"/>
              </w:rPr>
              <w:t>Дата</w:t>
            </w:r>
          </w:p>
        </w:tc>
        <w:tc>
          <w:tcPr>
            <w:tcW w:type="dxa" w:w="2521"/>
            <w:shd w:fill="D9EAF7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/>
                <w:sz w:val="16"/>
              </w:rPr>
              <w:t>Событие</w:t>
            </w:r>
          </w:p>
        </w:tc>
        <w:tc>
          <w:tcPr>
            <w:tcW w:type="dxa" w:w="2521"/>
            <w:shd w:fill="D9EAF7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/>
                <w:sz w:val="16"/>
              </w:rPr>
              <w:t>Документ</w:t>
            </w:r>
          </w:p>
        </w:tc>
        <w:tc>
          <w:tcPr>
            <w:tcW w:type="dxa" w:w="2521"/>
            <w:shd w:fill="D9EAF7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/>
                <w:sz w:val="16"/>
              </w:rPr>
              <w:t>Значение для позиции</w:t>
            </w:r>
          </w:p>
        </w:tc>
      </w:tr>
      <w:tr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[дата до проверки]</w:t>
            </w:r>
          </w:p>
        </w:tc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внутренняя проверка и выявление спорного вопроса</w:t>
            </w:r>
          </w:p>
        </w:tc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служебная записка/акт</w:t>
            </w:r>
          </w:p>
        </w:tc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подтверждает добросовестность и предварительный контроль</w:t>
            </w:r>
          </w:p>
        </w:tc>
      </w:tr>
      <w:tr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14 июля 2026 года</w:t>
            </w:r>
          </w:p>
        </w:tc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назначение либо проведение контрольного действия</w:t>
            </w:r>
          </w:p>
        </w:tc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решение № ПР-77/2026-719</w:t>
            </w:r>
          </w:p>
        </w:tc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определяет предмет, полномочия и начало процедуры</w:t>
            </w:r>
          </w:p>
        </w:tc>
      </w:tr>
      <w:tr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[дата]</w:t>
            </w:r>
          </w:p>
        </w:tc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представление документов и письменных объяснений</w:t>
            </w:r>
          </w:p>
        </w:tc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опись и сопроводительное письмо</w:t>
            </w:r>
          </w:p>
        </w:tc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подтверждает сотрудничество без признания нарушения</w:t>
            </w:r>
          </w:p>
        </w:tc>
      </w:tr>
      <w:tr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[дата]</w:t>
            </w:r>
          </w:p>
        </w:tc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получение акта, предписания или протокола</w:t>
            </w:r>
          </w:p>
        </w:tc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акт № А-77/2026-719</w:t>
            </w:r>
          </w:p>
        </w:tc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запускает срок возражений и обжалования</w:t>
            </w:r>
          </w:p>
        </w:tc>
      </w:tr>
      <w:tr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[дата]</w:t>
            </w:r>
          </w:p>
        </w:tc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подача настоящего документа</w:t>
            </w:r>
          </w:p>
        </w:tc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квитанция/личный кабинет</w:t>
            </w:r>
          </w:p>
        </w:tc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подтверждает соблюдение срока</w:t>
            </w:r>
          </w:p>
        </w:tc>
      </w:tr>
    </w:tbl>
    <w:p>
      <w:pPr>
        <w:pStyle w:val="Heading1"/>
        <w:keepNext/>
        <w:spacing w:before="160" w:after="60"/>
        <w:jc w:val="left"/>
      </w:pPr>
      <w:r>
        <w:rPr>
          <w:rFonts w:ascii="Times New Roman" w:hAnsi="Times New Roman" w:eastAsia="Times New Roman"/>
          <w:b/>
          <w:sz w:val="26"/>
        </w:rPr>
        <w:t>2. Процессуальные гарантии, подлежащие соблюдению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Проверка полномочий должностного лица и сведений о мероприятии до начала действий.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Разъяснение прав всем участникам и возможность пользоваться помощью представителя или защитника.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Включение замечаний в протоколы и акты непосредственно при их составлении.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Выдача копий документов в день совершения действия либо направление через официальную информационную систему.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Рассмотрение каждого письменного ходатайства с вынесением мотивированного решения.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Соблюдение сроков, подведомственности и запрета повторного наказания за одно и то же деяние.</w:t>
      </w:r>
    </w:p>
    <w:p>
      <w:pPr>
        <w:pStyle w:val="Heading1"/>
        <w:keepNext/>
        <w:spacing w:before="160" w:after="60"/>
        <w:jc w:val="left"/>
      </w:pPr>
      <w:r>
        <w:rPr>
          <w:rFonts w:ascii="Times New Roman" w:hAnsi="Times New Roman" w:eastAsia="Times New Roman"/>
          <w:b/>
          <w:sz w:val="26"/>
        </w:rPr>
        <w:t>3. Нарушения и правовая позиция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Контрольный или административный орган обязан действовать в пределах компетенции, предмета и установленной процедуры.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Обязанность доказать событие, состав и вину не может быть переложена на контролируемое либо привлекаемое лицо.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Из акта, протокола или постановления должно быть понятно, какое конкретное действие совершено, когда, кем и какой норме оно противоречит.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Сомнения, которые невозможно устранить после всестороннего исследования доказательств, толкуются в пользу привлекаемого лица.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Каждый довод и каждое доказательство должны получить самостоятельную мотивированную оценку.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Неблагоприятная мера должна быть необходимой, исполнимой и соразмерной выявленному факту.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Доказать объективную невозможность исполнения предписания в первоначальный срок и своевременность действий организации.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Подтвердить отсутствие поручения, одобрения или выгоды юридического лица от коррупционного предложения.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Представить результаты внутреннего расследования и документы антикоррупционного комплаенса.</w:t>
      </w:r>
    </w:p>
    <w:p>
      <w:pPr>
        <w:pStyle w:val="Heading1"/>
        <w:keepNext/>
        <w:spacing w:before="160" w:after="60"/>
        <w:jc w:val="left"/>
      </w:pPr>
      <w:r>
        <w:rPr>
          <w:rFonts w:ascii="Times New Roman" w:hAnsi="Times New Roman" w:eastAsia="Times New Roman"/>
          <w:b/>
          <w:sz w:val="26"/>
        </w:rPr>
        <w:t>4. Анализ доказательств</w:t>
      </w:r>
    </w:p>
    <w:p>
      <w:pPr>
        <w:spacing w:after="60" w:before="0" w:line="276" w:lineRule="auto"/>
        <w:ind w:firstLine="567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Доказательства должны оцениваться не по количеству, а по их относимости к конкретному событию, допустимости способа получения, достоверности содержания и достаточности совокупности. Материал, полученный вне предмета мероприятия или без обязательного процессуального оформления, не может автоматически подтверждать нарушение.</w:t>
      </w:r>
    </w:p>
    <w:p>
      <w:pPr>
        <w:spacing w:after="60" w:before="0" w:line="276" w:lineRule="auto"/>
        <w:ind w:firstLine="567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Особое значение имеют первичные источники: оригиналы документов, неизмененные цифровые файлы, сведения информационных систем с указанием даты и времени, а также показания лиц, непосредственно участвовавших в событиях на объекте «офис и строительная площадка ООО «Север Инжиниринг»». Производные справки и пересказы не заменяют первичные доказательства.</w:t>
      </w:r>
    </w:p>
    <w:p>
      <w:pPr>
        <w:spacing w:after="60" w:before="0" w:line="276" w:lineRule="auto"/>
        <w:ind w:firstLine="567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Если административный орган ссылается на фото-, аудио- или видеоматериалы, необходимо установить автора записи, устройство, время создания, непрерывность, отсутствие монтажа и связь кадра с проверяемым объектом. Для цифровых файлов целесообразно фиксировать контрольные суммы и сохранять исходный носитель.</w:t>
      </w:r>
    </w:p>
    <w:p>
      <w:pPr>
        <w:spacing w:after="60" w:before="0" w:line="276" w:lineRule="auto"/>
        <w:ind w:firstLine="567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Письменные объяснения работников подлежат сопоставлению с должностными обязанностями и фактической осведомленностью каждого лица. Объяснение, полученное без разъяснения статуса или составленное со слов инспектора, требует критической оценки.</w:t>
      </w:r>
    </w:p>
    <w:p>
      <w:pPr>
        <w:spacing w:after="60" w:before="0" w:line="276" w:lineRule="auto"/>
        <w:ind w:firstLine="567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Добровольное устранение недостатка не является безусловным признанием события, состава или вины. В документе следует прямо разделить фактические корректирующие меры и правовую позицию об отсутствии оснований ответственности.</w:t>
      </w:r>
    </w:p>
    <w:p>
      <w:pPr>
        <w:pStyle w:val="Heading1"/>
        <w:keepNext/>
        <w:spacing w:before="160" w:after="60"/>
        <w:jc w:val="left"/>
      </w:pPr>
      <w:r>
        <w:rPr>
          <w:rFonts w:ascii="Times New Roman" w:hAnsi="Times New Roman" w:eastAsia="Times New Roman"/>
          <w:b/>
          <w:sz w:val="26"/>
        </w:rPr>
        <w:t>5. Нормативное обоснование</w:t>
      </w:r>
    </w:p>
    <w:p>
      <w:pPr>
        <w:pStyle w:val="ListBullet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Кодекс Российской Федерации об административных правонарушениях: статьи 1.5, 2.1, 24.1, 24.5, 25.1, 25.4, 25.5, 26.1, 26.2, 26.11 и иные применимые нормы.</w:t>
      </w:r>
    </w:p>
    <w:p>
      <w:pPr>
        <w:pStyle w:val="ListBullet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Федеральный закон от 25.12.2008 № 273-ФЗ «О противодействии коррупции».</w:t>
      </w:r>
    </w:p>
    <w:p>
      <w:pPr>
        <w:pStyle w:val="ListBullet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Статьи 19.5 и 19.28 КоАП РФ — в зависимости от предмета производства.</w:t>
      </w:r>
    </w:p>
    <w:p>
      <w:pPr>
        <w:spacing w:after="60" w:before="0" w:line="276" w:lineRule="auto"/>
        <w:ind w:firstLine="567"/>
        <w:jc w:val="both"/>
      </w:pPr>
      <w:r>
        <w:rPr>
          <w:rFonts w:ascii="Times New Roman" w:hAnsi="Times New Roman" w:eastAsia="Times New Roman"/>
          <w:b w:val="0"/>
          <w:i/>
          <w:sz w:val="24"/>
        </w:rPr>
        <w:t>Ссылки на нормы приведены в учебных целях. Перед подачей необходимо проверить подведомственность, специальный порядок, сроки и редакцию законодательства на дату совершения процессуального действия.</w:t>
      </w:r>
    </w:p>
    <w:p>
      <w:pPr>
        <w:pStyle w:val="Heading1"/>
        <w:keepNext/>
        <w:spacing w:before="160" w:after="60"/>
        <w:jc w:val="left"/>
      </w:pPr>
      <w:r>
        <w:rPr>
          <w:rFonts w:ascii="Times New Roman" w:hAnsi="Times New Roman" w:eastAsia="Times New Roman"/>
          <w:b/>
          <w:sz w:val="26"/>
        </w:rPr>
        <w:t>6. Доказательства заявителя</w:t>
      </w:r>
    </w:p>
    <w:p>
      <w:pPr>
        <w:pStyle w:val="ListBullet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Предписание.</w:t>
      </w:r>
    </w:p>
    <w:p>
      <w:pPr>
        <w:pStyle w:val="ListBullet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Переписка с ресурсоснабжающей организацией.</w:t>
      </w:r>
    </w:p>
    <w:p>
      <w:pPr>
        <w:pStyle w:val="ListBullet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Ходатайство о продлении срока.</w:t>
      </w:r>
    </w:p>
    <w:p>
      <w:pPr>
        <w:pStyle w:val="ListBullet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Аудиозапись обращения посредника.</w:t>
      </w:r>
    </w:p>
    <w:p>
      <w:pPr>
        <w:pStyle w:val="ListBullet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Приказ о расследовании.</w:t>
      </w:r>
    </w:p>
    <w:p>
      <w:pPr>
        <w:pStyle w:val="ListBullet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Уведомление правоохранительного органа.</w:t>
      </w:r>
    </w:p>
    <w:p>
      <w:pPr>
        <w:spacing w:after="60" w:before="0" w:line="276" w:lineRule="auto"/>
        <w:ind w:firstLine="567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Каждое приложение следует пронумеровать, прошить либо объединить в электронный файл с оглавлением. В сопроводительном письме желательно указать, какое обстоятельство подтверждает конкретный документ.</w:t>
      </w:r>
    </w:p>
    <w:p>
      <w:pPr>
        <w:pStyle w:val="Heading1"/>
        <w:keepNext/>
        <w:spacing w:before="160" w:after="60"/>
        <w:jc w:val="left"/>
      </w:pPr>
      <w:r>
        <w:rPr>
          <w:rFonts w:ascii="Times New Roman" w:hAnsi="Times New Roman" w:eastAsia="Times New Roman"/>
          <w:b/>
          <w:sz w:val="26"/>
        </w:rPr>
        <w:t>7. Альтернативная позиция по наказанию</w:t>
      </w:r>
    </w:p>
    <w:p>
      <w:pPr>
        <w:spacing w:after="60" w:before="0" w:line="276" w:lineRule="auto"/>
        <w:ind w:firstLine="567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Основная позиция состоит в отсутствии оснований ответственности. Не отказываясь от нее, заявитель просит при альтернативной оценке учесть впервые совершенный характер нарушения, отсутствие вреда, добровольное устранение, сотрудничество с органом и несоразмерность строгого наказания.</w:t>
      </w:r>
    </w:p>
    <w:p>
      <w:pPr>
        <w:spacing w:after="60" w:before="0" w:line="276" w:lineRule="auto"/>
        <w:ind w:firstLine="567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Альтернативная просьба о смягчении не должна формулироваться как признание события или вины. Рекомендуется прямо указать, что она заявляется исключительно на случай отклонения основной позиции.</w:t>
      </w:r>
    </w:p>
    <w:p>
      <w:pPr>
        <w:pStyle w:val="Heading1"/>
        <w:keepNext/>
        <w:spacing w:before="160" w:after="60"/>
        <w:jc w:val="left"/>
      </w:pPr>
      <w:r>
        <w:rPr>
          <w:rFonts w:ascii="Times New Roman" w:hAnsi="Times New Roman" w:eastAsia="Times New Roman"/>
          <w:b/>
          <w:sz w:val="26"/>
        </w:rPr>
        <w:t>8. Просительная часть</w:t>
      </w:r>
    </w:p>
    <w:p>
      <w:pPr>
        <w:spacing w:after="60" w:before="0" w:line="276" w:lineRule="auto"/>
        <w:jc w:val="both"/>
      </w:pPr>
      <w:r>
        <w:rPr>
          <w:rFonts w:ascii="Times New Roman" w:hAnsi="Times New Roman" w:eastAsia="Times New Roman"/>
          <w:b/>
          <w:i w:val="0"/>
          <w:sz w:val="24"/>
        </w:rPr>
        <w:t>На основании изложенного ПРОШУ: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Отменить либо изменить обжалуемое решение.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Прекратить производство или исключить спорные выводы.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Приобщить доказательства и дать каждому доводу мотивированную оценку.</w:t>
      </w:r>
    </w:p>
    <w:p>
      <w:pPr>
        <w:pStyle w:val="Heading1"/>
        <w:keepNext/>
        <w:spacing w:before="160" w:after="60"/>
        <w:jc w:val="left"/>
      </w:pPr>
      <w:r>
        <w:rPr>
          <w:rFonts w:ascii="Times New Roman" w:hAnsi="Times New Roman" w:eastAsia="Times New Roman"/>
          <w:b/>
          <w:sz w:val="26"/>
        </w:rPr>
        <w:t>9. Приложения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Предписание.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Переписка с ресурсоснабжающей организацией.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Ходатайство о продлении срока.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Аудиозапись обращения посредника.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Приказ о расследовании.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Уведомление правоохранительного органа.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Доверенность либо иной документ о полномочиях представителя.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Доказательства направления документа другим участникам — если это требуется.</w:t>
      </w:r>
    </w:p>
    <w:p>
      <w:pPr>
        <w:pStyle w:val="Heading1"/>
        <w:keepNext/>
        <w:spacing w:before="160" w:after="60"/>
        <w:jc w:val="left"/>
      </w:pPr>
      <w:r>
        <w:rPr>
          <w:rFonts w:ascii="Times New Roman" w:hAnsi="Times New Roman" w:eastAsia="Times New Roman"/>
          <w:b/>
          <w:sz w:val="26"/>
        </w:rPr>
        <w:t>10. Риски и адаптация</w:t>
      </w:r>
    </w:p>
    <w:p>
      <w:pPr>
        <w:pStyle w:val="ListBullet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Проверить специальный срок подачи и допустимый способ направления документа.</w:t>
      </w:r>
    </w:p>
    <w:p>
      <w:pPr>
        <w:pStyle w:val="ListBullet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Не признавать факты, которые оспариваются, даже при добровольном устранении недостатков.</w:t>
      </w:r>
    </w:p>
    <w:p>
      <w:pPr>
        <w:pStyle w:val="ListBullet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Отделить процедурные возражения от альтернативной просьбы о смягчении наказания.</w:t>
      </w:r>
    </w:p>
    <w:p>
      <w:pPr>
        <w:pStyle w:val="ListBullet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Проверить, не требуется ли обязательное досудебное обжалование через государственную информационную систему.</w:t>
      </w:r>
    </w:p>
    <w:p>
      <w:pPr>
        <w:pStyle w:val="ListBullet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Заменить модельные сведения реальными документами, датами, номерами и полномочиями органа.</w:t>
      </w:r>
    </w:p>
    <w:p>
      <w:pPr>
        <w:pStyle w:val="ListBullet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Сохранить подтверждение отправки и неизменную копию поданного документа со всеми приложениями.</w:t>
      </w:r>
    </w:p>
    <w:p/>
    <w:p>
      <w:pPr>
        <w:spacing w:after="0" w:before="0" w:line="276" w:lineRule="auto"/>
        <w:jc w:val="left"/>
      </w:pPr>
      <w:r>
        <w:rPr>
          <w:rFonts w:ascii="Times New Roman" w:hAnsi="Times New Roman" w:eastAsia="Times New Roman"/>
          <w:b w:val="0"/>
          <w:i w:val="0"/>
          <w:sz w:val="24"/>
        </w:rPr>
        <w:t>Представитель __________________ / [Ф.И.О.] /</w:t>
        <w:br/>
        <w:t>«___» __________ 2026 года</w:t>
      </w:r>
    </w:p>
    <w:sectPr w:rsidR="00FC693F" w:rsidRPr="0006063C" w:rsidSect="00034616">
      <w:headerReference w:type="default" r:id="rId9"/>
      <w:footerReference w:type="default" r:id="rId10"/>
      <w:pgSz w:w="12240" w:h="15840"/>
      <w:pgMar w:top="1020" w:right="907" w:bottom="964" w:left="124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center"/>
    </w:pPr>
    <w:r>
      <w:rPr>
        <w:rFonts w:ascii="Times New Roman" w:hAnsi="Times New Roman" w:eastAsia="Times New Roman"/>
        <w:color w:val="5A5A5A"/>
        <w:sz w:val="16"/>
      </w:rPr>
      <w:t>Модельный образец. Перед применением адаптируйте факты, полномочия органа и действующую редакцию законодательства.</w:t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  <w:spacing w:after="0"/>
      <w:jc w:val="center"/>
    </w:pPr>
    <w:r>
      <w:rPr>
        <w:rFonts w:ascii="Times New Roman" w:hAnsi="Times New Roman" w:eastAsia="Times New Roman"/>
        <w:b/>
        <w:color w:val="505050"/>
        <w:sz w:val="16"/>
      </w:rPr>
      <w:t>Юридическая фирма «Зотова и партнеры»  |  zotowa.ru  |  библиотека «Административная защита»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="276" w:lineRule="auto" w:after="60"/>
    </w:pPr>
    <w:rPr>
      <w:rFonts w:ascii="Times New Roman" w:hAnsi="Times New Roman" w:eastAsia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 w:ascii="Times New Roman" w:hAnsi="Times New Roman" w:eastAsia="Times New Roman"/>
      <w:b/>
      <w:bCs/>
      <w:color w:val="1F374D"/>
      <w:sz w:val="26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 w:ascii="Times New Roman" w:hAnsi="Times New Roman" w:eastAsia="Times New Roman"/>
      <w:b/>
      <w:bCs/>
      <w:color w:val="1F374D"/>
      <w:sz w:val="24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Позиция об отсутствии самостоятельной вины должностного лица</dc:title>
  <dc:subject>Административная защита — библиотека ZOTOWA.RU</dc:subject>
  <dc:creator>Юридическая фирма «Зотова и партнеры»</dc:creator>
  <cp:keywords>административная защита, контроль, КоАП РФ, 248-ФЗ, ZOTOWA.RU</cp:keywords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