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ПО ПРИЗНАКАМ АНТИКОНКУРЕНТНОГО СОГЛАШЕНИЯ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Совпадение отдельных технических параметров поведения участников не доказывает соглашение без анализа экономических причин, коммуникаций и самостоятельности принятия решений.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по признакам антиконкурентного соглашения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