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ДЕЛУ О НАРУШЕНИИ ВАЛЮТНОГО ЗАКОНОДАТЕЛЬСТВА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срока связано с подтвержденным техническим сбоем банка, при этом валютная операция законна, документы представлены добровольно и бюджетный контроль не затруднен.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Досье валютного контракта.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Служебное письмо банка о техническом сбое.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делу о нарушении валютного законодательства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