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[вышестоящий суд, определяемый по главе 30 КоАП РФ]</w:t>
        <w:br/>
        <w:t>через суд, вынесший постановление</w:t>
        <w:br/>
        <w:t>[адрес суда]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ВСТУПИВШИЕ В СИЛУ СУДЕБНЫЕ РЕШЕНИЯ ПО АДМИНИСТРАТИВНОМУ ДЕЛУ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вступившие в силу судебные решения по административному делу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