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ПРАВОВОЕ ЗАКЛЮЧЕНИЕ О РИСКАХ ПРОВЕДЕНИЯ ГОСУДАРСТВЕННОГО КОНТРОЛЯ В ОТНОШЕНИИ ОРГАНИЗАЦИИ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«Вектор Трейд» в связи с необходимостью оценить административные риски и подготовить организацию к взаимодействию с контрольными органами. Предмет анализа: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распределительный склад и офис площадью 2 480 кв. м.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осуществляет оптовую торговлю товарами для дома и хранение продукции на собственном распределительном складе.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2025–2026 годах отдельные обязательные требования изменялись, однако внутренний реестр требований и порядок контроля их исполнения не обновлялись.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информационных системах выявлены сведения о возможном профилактическом либо контрольном мероприятии в отношении склада.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КМ-2026/0417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«распределительный склад и офис площадью 2 480 кв. м».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контрольного мероприятия провести инвентаризацию обязательных требований и подтвердить ответственное исполнение обязанностей.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предоставление избыточных документов, не относящихся к предмету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Фиксировать все действия должностных лиц и своевременно заявлять письменные 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Выписка из ЕГРЮЛ.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Правоустанавливающие документы на объект.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Лицензии и уведомления.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Локальные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внутреннего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Правовое заключение о рисках проведения государственного контроля в отношении организации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